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ASAMBLEA GENERAL 2024</w:t>
      </w:r>
    </w:p>
    <w:p w:rsidR="00000000" w:rsidDel="00000000" w:rsidP="00000000" w:rsidRDefault="00000000" w:rsidRPr="00000000" w14:paraId="00000003">
      <w:pPr>
        <w:jc w:val="center"/>
        <w:rPr>
          <w:b w:val="1"/>
        </w:rPr>
      </w:pPr>
      <w:r w:rsidDel="00000000" w:rsidR="00000000" w:rsidRPr="00000000">
        <w:rPr>
          <w:b w:val="1"/>
          <w:rtl w:val="0"/>
        </w:rPr>
        <w:t xml:space="preserve">Facultad de Derecho UIPR</w:t>
      </w:r>
    </w:p>
    <w:p w:rsidR="00000000" w:rsidDel="00000000" w:rsidP="00000000" w:rsidRDefault="00000000" w:rsidRPr="00000000" w14:paraId="00000004">
      <w:pPr>
        <w:jc w:val="center"/>
        <w:rPr>
          <w:b w:val="1"/>
        </w:rPr>
      </w:pPr>
      <w:r w:rsidDel="00000000" w:rsidR="00000000" w:rsidRPr="00000000">
        <w:rPr>
          <w:b w:val="1"/>
          <w:rtl w:val="0"/>
        </w:rPr>
        <w:t xml:space="preserve">Anfiteatro I </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Bienvenida a la AGA 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Evelyn Román- Presidenta y Liza Gallardo como directora ejecutiva dan la bienvenida a la AGA 2024.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Constatación y confirmación de quórum</w:t>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Reunidos en la Facultad de Derecho de la Universidad Interamericana de Puerto Rico el 20 de abril de 2024, las integrantes de Amnistía Internacional Sección de Puerto Rico que cuenta con 47 integrantes con membresía activa al momento de la AGA 2024 participan de los trabajos para esta asamblea.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Conforme a los Estatutos vigente, el (10) % porciento constituye el quorum mínimo requerido para los trabajos de la AGA. El Quorum mínimo requerido es de seis (6) personas.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Al momento del inicio de los trabajos el quorum es de 15 personas. </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Aprobación de la Agenda</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Se presenta moción para la aprobación de la agenda para la AGA 2024, Moción por parte de Osvaldo y secundada por Rafael.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Aprobación de Acta AGA 2023</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Copia de la MINUTA de la AGA 2023 se encuentra en el enlace de la AGA 2024 al que tienen acceso les integrantes, además, se han presentado físicamente a los presentes. El secretario de la Junta, Luis Conti, aclara que, en la sección de anuncios, se presentó que había tres sillas cuyos términos vencían a 2024, clarificados los términos, son solamente dos y fue anunciado a la matricula mediante correo electrónico. Se somete moción para aprobar dicha acta, la cual es presentada por Osvaldo y secundada por Valerie y Rafael.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Liza Gallardo informa a la Asamblea que las compañeras Marielle de León, Alice Pérez y Michelle Nevárez se excusaron por razones de trabajo. El compañero Wilfredo Torres también se excusó de los trabajos. Quedan formalmente excusados dando gracias a Wilfredo por su tiempo y colaboración con Amnistía Puerto Rico.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t xml:space="preserve">Evelyn inicia la </w:t>
      </w:r>
      <w:r w:rsidDel="00000000" w:rsidR="00000000" w:rsidRPr="00000000">
        <w:rPr>
          <w:b w:val="1"/>
          <w:rtl w:val="0"/>
        </w:rPr>
        <w:t xml:space="preserve">PRESENTACIÓN DE INFORMES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Durante este período se presentarán los informes de Presidencia, Tesorería, y Dirección Ejecutiva. </w:t>
      </w: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 Informe de la presidenta, Evelyn Román</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ind w:firstLine="360"/>
        <w:rPr/>
      </w:pPr>
      <w:r w:rsidDel="00000000" w:rsidR="00000000" w:rsidRPr="00000000">
        <w:rPr>
          <w:rtl w:val="0"/>
        </w:rPr>
        <w:t xml:space="preserve">Se adjunta informe de la presidencia para lectura y referencia. </w:t>
      </w:r>
    </w:p>
    <w:p w:rsidR="00000000" w:rsidDel="00000000" w:rsidP="00000000" w:rsidRDefault="00000000" w:rsidRPr="00000000" w14:paraId="00000025">
      <w:pPr>
        <w:ind w:firstLine="360"/>
        <w:rPr/>
      </w:pPr>
      <w:r w:rsidDel="00000000" w:rsidR="00000000" w:rsidRPr="00000000">
        <w:rPr>
          <w:rtl w:val="0"/>
        </w:rPr>
        <w:t xml:space="preserve">Moción presentada por: Osvaldo Burgos </w:t>
      </w:r>
    </w:p>
    <w:p w:rsidR="00000000" w:rsidDel="00000000" w:rsidP="00000000" w:rsidRDefault="00000000" w:rsidRPr="00000000" w14:paraId="00000026">
      <w:pPr>
        <w:ind w:firstLine="360"/>
        <w:rPr/>
      </w:pPr>
      <w:r w:rsidDel="00000000" w:rsidR="00000000" w:rsidRPr="00000000">
        <w:rPr>
          <w:rtl w:val="0"/>
        </w:rPr>
        <w:t xml:space="preserve">Secundada por: Gina y Rafa, Amadori, Wendall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Informe de la Tesorera, Norma Rivera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360" w:firstLine="0"/>
        <w:jc w:val="both"/>
        <w:rPr/>
      </w:pPr>
      <w:r w:rsidDel="00000000" w:rsidR="00000000" w:rsidRPr="00000000">
        <w:rPr>
          <w:rtl w:val="0"/>
        </w:rPr>
        <w:t xml:space="preserve">Se adjunta informe de la Tesorera con informes al 12/31/2023 no auditados aun para   lectura y referencia. </w:t>
      </w:r>
    </w:p>
    <w:p w:rsidR="00000000" w:rsidDel="00000000" w:rsidP="00000000" w:rsidRDefault="00000000" w:rsidRPr="00000000" w14:paraId="0000002B">
      <w:pPr>
        <w:ind w:left="360" w:firstLine="0"/>
        <w:jc w:val="both"/>
        <w:rPr/>
      </w:pPr>
      <w:r w:rsidDel="00000000" w:rsidR="00000000" w:rsidRPr="00000000">
        <w:rPr>
          <w:rtl w:val="0"/>
        </w:rPr>
      </w:r>
    </w:p>
    <w:p w:rsidR="00000000" w:rsidDel="00000000" w:rsidP="00000000" w:rsidRDefault="00000000" w:rsidRPr="00000000" w14:paraId="0000002C">
      <w:pPr>
        <w:ind w:left="360" w:firstLine="0"/>
        <w:jc w:val="both"/>
        <w:rPr/>
      </w:pPr>
      <w:r w:rsidDel="00000000" w:rsidR="00000000" w:rsidRPr="00000000">
        <w:rPr>
          <w:rtl w:val="0"/>
        </w:rPr>
        <w:t xml:space="preserve">Balance de fondos disponibles para utilizar y que no tienen restricciones: $51K, entre sobrantes de Diverxs, fundación de mujeres y AI. </w:t>
      </w:r>
    </w:p>
    <w:p w:rsidR="00000000" w:rsidDel="00000000" w:rsidP="00000000" w:rsidRDefault="00000000" w:rsidRPr="00000000" w14:paraId="0000002D">
      <w:pPr>
        <w:ind w:left="360" w:firstLine="0"/>
        <w:jc w:val="both"/>
        <w:rPr/>
      </w:pPr>
      <w:r w:rsidDel="00000000" w:rsidR="00000000" w:rsidRPr="00000000">
        <w:rPr>
          <w:rtl w:val="0"/>
        </w:rPr>
      </w:r>
    </w:p>
    <w:p w:rsidR="00000000" w:rsidDel="00000000" w:rsidP="00000000" w:rsidRDefault="00000000" w:rsidRPr="00000000" w14:paraId="0000002E">
      <w:pPr>
        <w:ind w:left="360" w:firstLine="0"/>
        <w:jc w:val="both"/>
        <w:rPr/>
      </w:pPr>
      <w:r w:rsidDel="00000000" w:rsidR="00000000" w:rsidRPr="00000000">
        <w:rPr>
          <w:rtl w:val="0"/>
        </w:rPr>
        <w:t xml:space="preserve">Hubo preguntas sobre la diferencia entre los Activos 2022 a 2023, Liza y Norma explican que fue por la terminación del Proyecto Diversxs que culmino a 2023.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Mozart presenta observación, en algunas de las plantillas, se hace referencia a movimiento, pero para clarificar que es de la sección PR y no del movimiento global.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ind w:firstLine="360"/>
        <w:jc w:val="both"/>
        <w:rPr/>
      </w:pPr>
      <w:r w:rsidDel="00000000" w:rsidR="00000000" w:rsidRPr="00000000">
        <w:rPr>
          <w:rtl w:val="0"/>
        </w:rPr>
        <w:t xml:space="preserve">Una Moción fue presentada por: Osvaldo Burgos con la corrección solicitada. </w:t>
      </w:r>
    </w:p>
    <w:p w:rsidR="00000000" w:rsidDel="00000000" w:rsidP="00000000" w:rsidRDefault="00000000" w:rsidRPr="00000000" w14:paraId="00000033">
      <w:pPr>
        <w:rPr/>
      </w:pPr>
      <w:r w:rsidDel="00000000" w:rsidR="00000000" w:rsidRPr="00000000">
        <w:rPr>
          <w:rtl w:val="0"/>
        </w:rPr>
        <w:t xml:space="preserve">Esta fue secundada por: Mozart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firstLine="360"/>
        <w:jc w:val="both"/>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Otra Moción fue presentada por Osvaldo propone que se recoja una moción para felicitar tanto a la Dirección Ejecutiva como a la Junta por el excelente manejo de los fondos y la administración de la Sección con informes financieros sin señalamientos.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Esta fue secundada por Valeria, Rafa, Amadori y Angel  </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1"/>
        </w:numPr>
        <w:ind w:left="720" w:hanging="360"/>
        <w:jc w:val="both"/>
        <w:rPr/>
      </w:pPr>
      <w:r w:rsidDel="00000000" w:rsidR="00000000" w:rsidRPr="00000000">
        <w:rPr>
          <w:rtl w:val="0"/>
        </w:rPr>
        <w:t xml:space="preserve">Informe de la Dirección Ejecutiva, Liza Gallardo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Comienza haciendo llamado para aumentar la membresía y continuar colaborando para el crecimiento de la sección.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Se adjunta informe de la dirección ejecutiva para referencia.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Liza propone a la Junta evalúe los costos y encontremos formas para poder incluir más personas, Wendell aportó en la misma línea en cuanto a la importancia de los fondos, pero más importante es la membresía. </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Como Junta debemos evaluar las posibles alternativas para aumentar la membresía, entre estas reducir el costo de membresía, o proponer alternativas de formas de contribuir. </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Osvaldo pregunta sobre la Resolución a nivel global relacionada a Trabajo Sexual. Liza comenta que hubo varios informes relacionados a este tema que fueron investigaciones, luego de eso, no ha habido otros trabajos salvo por el trabajo en las secciones como Diversxs en Paraguay, un trabajo mayormente de visibilidad. </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Osvaldo propone que se haga un cuestionamiento en la regional y en la global sobre este tema de la Resolución, por ser un tema que sigue invisibilizado. </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Otro tema que menciona Osvaldo es el tema de la muerte digna, el cual esta más que pasado de tiempo como derecho humano. Liza y Evelyn concurren que no hay mucho de ese trabajo. Mozart incluye el solicitar que el movimiento internacional diera seguimiento a resoluciones de años anterior sobre investigaciones por el no cumplimiento con el tema anticolonial. Osvaldo incluye lo difícil que es hablar de derechos humanos desde Puerto Rico sobre con el tema colonial están presente. Mozart menciona el tema desde la autodeterminación, ¿que implicaciones hay cuando los pueblos no logran esa auto determinación?</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Liza comenta que el tema de democracia comenzó a hablarse en AI por las implicaciones políticas que tiene a pesar de las limitaciones que impone el tema.  Que Latinoamérica trae el asunto del neoliberalismo está ganando terreno en Latinoamérica y no se está tocando el tema. Canadá francófona es una de las aliadas en este tema. El Prepcom de este año este tema no pasó. </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Osvaldo propone que se lleve el tema en las reuniones más informales en el foro regional y el la AGA. </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Valerie menciona los retos o limitaciones sobre estos temas, y habla de cuestionar que estos temas trascienden lo político y hablamos de humanitario, Mozart plantea la diferencia entre derechos humanos y lo humanitario (el tema de guerra). El consenso es al re enfoque.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Osvaldo, comenta sobre el proyecto del bizcocho y la campana de Aníbal, y la posible venta de los muñequitos sobre el bizcocho y los muñequitos sobre ella. Como una posible forma de recaudación.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ind w:firstLine="360"/>
        <w:rPr/>
      </w:pPr>
      <w:r w:rsidDel="00000000" w:rsidR="00000000" w:rsidRPr="00000000">
        <w:rPr>
          <w:rtl w:val="0"/>
        </w:rPr>
        <w:t xml:space="preserve">Moción presentada por: Osvaldo Burgos </w:t>
      </w:r>
    </w:p>
    <w:p w:rsidR="00000000" w:rsidDel="00000000" w:rsidP="00000000" w:rsidRDefault="00000000" w:rsidRPr="00000000" w14:paraId="00000055">
      <w:pPr>
        <w:ind w:firstLine="360"/>
        <w:rPr/>
      </w:pPr>
      <w:r w:rsidDel="00000000" w:rsidR="00000000" w:rsidRPr="00000000">
        <w:rPr>
          <w:rtl w:val="0"/>
        </w:rPr>
        <w:t xml:space="preserve">Secundada por: Wendell, Rafa, Valeria, Mozart, Amadori y Angel  </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RESOLUCIONES</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Ver más arriba las resoluciones presentadas. </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b w:val="1"/>
        </w:rPr>
      </w:pPr>
      <w:r w:rsidDel="00000000" w:rsidR="00000000" w:rsidRPr="00000000">
        <w:rPr>
          <w:b w:val="1"/>
          <w:rtl w:val="0"/>
        </w:rPr>
        <w:t xml:space="preserve">ELECCIONES a la JUNTA DIRECTIVA 2024-2026</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b w:val="1"/>
        </w:rPr>
      </w:pPr>
      <w:r w:rsidDel="00000000" w:rsidR="00000000" w:rsidRPr="00000000">
        <w:rPr>
          <w:b w:val="1"/>
          <w:rtl w:val="0"/>
        </w:rPr>
        <w:t xml:space="preserve">NOMINACIONES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Previamente Luis Conti se había nominado para continuar en la Junta Directiva. Luis Conti propuso para la silla disponible a la compañera Valerie Martínez Rivera reconociendo sus aportaciones, así como su liderazgo y compromiso. Atendiendo la propuesta de los capítulos estudiantiles y el compromiso de la Junta para insertar más a les jóvenes en los procesos decisionales de AIPR. </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Moción: Osvaldo Burgos secunda la nominación y solicita dar por cerradas las nominaciones.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Esta fue secundada por Gina, Rafa y Ángel y </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Quedan electos Valeria Martínez Rivera y Luis Conti. </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Moción por parte de Osvaldo (adicional) para felicitar a la junta y a los salientes, y a las entrantes incluyendo a Wilfredo Torres y sus aportaciones. </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Se reconoció a Mozart y Osvaldo como pasados miembros de Junta. </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Osvaldo presenta moción de cierre la cual fue secundada por múltiples miembros, entre estas Gina, Evelyn, Liza y Rafael. </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Los trabajos cerraron siendo las 1:34pm. </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Se certifica que esta Minuta corresponde a los trabajos de la Asamblea General para Amnistía Internacional, Sección de Puerto Rico celebrada el 20 de abril de 2024. </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___________________________________ </w:t>
      </w:r>
    </w:p>
    <w:p w:rsidR="00000000" w:rsidDel="00000000" w:rsidP="00000000" w:rsidRDefault="00000000" w:rsidRPr="00000000" w14:paraId="00000075">
      <w:pPr>
        <w:jc w:val="both"/>
        <w:rPr/>
      </w:pPr>
      <w:r w:rsidDel="00000000" w:rsidR="00000000" w:rsidRPr="00000000">
        <w:rPr>
          <w:rtl w:val="0"/>
        </w:rPr>
        <w:t xml:space="preserve">Luis “Conti” Rivera-Villanueva</w:t>
      </w:r>
    </w:p>
    <w:p w:rsidR="00000000" w:rsidDel="00000000" w:rsidP="00000000" w:rsidRDefault="00000000" w:rsidRPr="00000000" w14:paraId="00000076">
      <w:pPr>
        <w:jc w:val="both"/>
        <w:rPr/>
      </w:pPr>
      <w:r w:rsidDel="00000000" w:rsidR="00000000" w:rsidRPr="00000000">
        <w:rPr>
          <w:rtl w:val="0"/>
        </w:rPr>
        <w:t xml:space="preserve">Secretarix </w:t>
      </w:r>
    </w:p>
    <w:p w:rsidR="00000000" w:rsidDel="00000000" w:rsidP="00000000" w:rsidRDefault="00000000" w:rsidRPr="00000000" w14:paraId="00000077">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114300" distT="114300" distL="114300" distR="114300">
          <wp:extent cx="1925963" cy="58829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5963" cy="588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lang w:val="es-ES_tradnl"/>
    </w:rPr>
  </w:style>
  <w:style w:type="paragraph" w:styleId="Heading1">
    <w:name w:val="heading 1"/>
    <w:basedOn w:val="Normal"/>
    <w:next w:val="Normal"/>
    <w:link w:val="Heading1Char"/>
    <w:uiPriority w:val="9"/>
    <w:qFormat w:val="1"/>
    <w:rsid w:val="0051495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1495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1495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1495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1495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14958"/>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14958"/>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14958"/>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14958"/>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14958"/>
    <w:rPr>
      <w:rFonts w:asciiTheme="majorHAnsi" w:cstheme="majorBidi" w:eastAsiaTheme="majorEastAsia" w:hAnsiTheme="majorHAnsi"/>
      <w:color w:val="0f4761" w:themeColor="accent1" w:themeShade="0000BF"/>
      <w:sz w:val="40"/>
      <w:szCs w:val="40"/>
      <w:lang w:val="es-ES_tradnl"/>
    </w:rPr>
  </w:style>
  <w:style w:type="character" w:styleId="Heading2Char" w:customStyle="1">
    <w:name w:val="Heading 2 Char"/>
    <w:basedOn w:val="DefaultParagraphFont"/>
    <w:link w:val="Heading2"/>
    <w:uiPriority w:val="9"/>
    <w:semiHidden w:val="1"/>
    <w:rsid w:val="00514958"/>
    <w:rPr>
      <w:rFonts w:asciiTheme="majorHAnsi" w:cstheme="majorBidi" w:eastAsiaTheme="majorEastAsia" w:hAnsiTheme="majorHAnsi"/>
      <w:color w:val="0f4761" w:themeColor="accent1" w:themeShade="0000BF"/>
      <w:sz w:val="32"/>
      <w:szCs w:val="32"/>
      <w:lang w:val="es-ES_tradnl"/>
    </w:rPr>
  </w:style>
  <w:style w:type="character" w:styleId="Heading3Char" w:customStyle="1">
    <w:name w:val="Heading 3 Char"/>
    <w:basedOn w:val="DefaultParagraphFont"/>
    <w:link w:val="Heading3"/>
    <w:uiPriority w:val="9"/>
    <w:semiHidden w:val="1"/>
    <w:rsid w:val="00514958"/>
    <w:rPr>
      <w:rFonts w:cstheme="majorBidi" w:eastAsiaTheme="majorEastAsia"/>
      <w:color w:val="0f4761" w:themeColor="accent1" w:themeShade="0000BF"/>
      <w:sz w:val="28"/>
      <w:szCs w:val="28"/>
      <w:lang w:val="es-ES_tradnl"/>
    </w:rPr>
  </w:style>
  <w:style w:type="character" w:styleId="Heading4Char" w:customStyle="1">
    <w:name w:val="Heading 4 Char"/>
    <w:basedOn w:val="DefaultParagraphFont"/>
    <w:link w:val="Heading4"/>
    <w:uiPriority w:val="9"/>
    <w:semiHidden w:val="1"/>
    <w:rsid w:val="00514958"/>
    <w:rPr>
      <w:rFonts w:cstheme="majorBidi" w:eastAsiaTheme="majorEastAsia"/>
      <w:i w:val="1"/>
      <w:iCs w:val="1"/>
      <w:color w:val="0f4761" w:themeColor="accent1" w:themeShade="0000BF"/>
      <w:lang w:val="es-ES_tradnl"/>
    </w:rPr>
  </w:style>
  <w:style w:type="character" w:styleId="Heading5Char" w:customStyle="1">
    <w:name w:val="Heading 5 Char"/>
    <w:basedOn w:val="DefaultParagraphFont"/>
    <w:link w:val="Heading5"/>
    <w:uiPriority w:val="9"/>
    <w:semiHidden w:val="1"/>
    <w:rsid w:val="00514958"/>
    <w:rPr>
      <w:rFonts w:cstheme="majorBidi" w:eastAsiaTheme="majorEastAsia"/>
      <w:color w:val="0f4761" w:themeColor="accent1" w:themeShade="0000BF"/>
      <w:lang w:val="es-ES_tradnl"/>
    </w:rPr>
  </w:style>
  <w:style w:type="character" w:styleId="Heading6Char" w:customStyle="1">
    <w:name w:val="Heading 6 Char"/>
    <w:basedOn w:val="DefaultParagraphFont"/>
    <w:link w:val="Heading6"/>
    <w:uiPriority w:val="9"/>
    <w:semiHidden w:val="1"/>
    <w:rsid w:val="00514958"/>
    <w:rPr>
      <w:rFonts w:cstheme="majorBidi" w:eastAsiaTheme="majorEastAsia"/>
      <w:i w:val="1"/>
      <w:iCs w:val="1"/>
      <w:color w:val="595959" w:themeColor="text1" w:themeTint="0000A6"/>
      <w:lang w:val="es-ES_tradnl"/>
    </w:rPr>
  </w:style>
  <w:style w:type="character" w:styleId="Heading7Char" w:customStyle="1">
    <w:name w:val="Heading 7 Char"/>
    <w:basedOn w:val="DefaultParagraphFont"/>
    <w:link w:val="Heading7"/>
    <w:uiPriority w:val="9"/>
    <w:semiHidden w:val="1"/>
    <w:rsid w:val="00514958"/>
    <w:rPr>
      <w:rFonts w:cstheme="majorBidi" w:eastAsiaTheme="majorEastAsia"/>
      <w:color w:val="595959" w:themeColor="text1" w:themeTint="0000A6"/>
      <w:lang w:val="es-ES_tradnl"/>
    </w:rPr>
  </w:style>
  <w:style w:type="character" w:styleId="Heading8Char" w:customStyle="1">
    <w:name w:val="Heading 8 Char"/>
    <w:basedOn w:val="DefaultParagraphFont"/>
    <w:link w:val="Heading8"/>
    <w:uiPriority w:val="9"/>
    <w:semiHidden w:val="1"/>
    <w:rsid w:val="00514958"/>
    <w:rPr>
      <w:rFonts w:cstheme="majorBidi" w:eastAsiaTheme="majorEastAsia"/>
      <w:i w:val="1"/>
      <w:iCs w:val="1"/>
      <w:color w:val="272727" w:themeColor="text1" w:themeTint="0000D8"/>
      <w:lang w:val="es-ES_tradnl"/>
    </w:rPr>
  </w:style>
  <w:style w:type="character" w:styleId="Heading9Char" w:customStyle="1">
    <w:name w:val="Heading 9 Char"/>
    <w:basedOn w:val="DefaultParagraphFont"/>
    <w:link w:val="Heading9"/>
    <w:uiPriority w:val="9"/>
    <w:semiHidden w:val="1"/>
    <w:rsid w:val="00514958"/>
    <w:rPr>
      <w:rFonts w:cstheme="majorBidi" w:eastAsiaTheme="majorEastAsia"/>
      <w:color w:val="272727" w:themeColor="text1" w:themeTint="0000D8"/>
      <w:lang w:val="es-ES_tradnl"/>
    </w:rPr>
  </w:style>
  <w:style w:type="paragraph" w:styleId="Title">
    <w:name w:val="Title"/>
    <w:basedOn w:val="Normal"/>
    <w:next w:val="Normal"/>
    <w:link w:val="TitleChar"/>
    <w:uiPriority w:val="10"/>
    <w:qFormat w:val="1"/>
    <w:rsid w:val="00514958"/>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14958"/>
    <w:rPr>
      <w:rFonts w:asciiTheme="majorHAnsi" w:cstheme="majorBidi" w:eastAsiaTheme="majorEastAsia" w:hAnsiTheme="majorHAnsi"/>
      <w:spacing w:val="-10"/>
      <w:kern w:val="28"/>
      <w:sz w:val="56"/>
      <w:szCs w:val="56"/>
      <w:lang w:val="es-ES_tradnl"/>
    </w:rPr>
  </w:style>
  <w:style w:type="paragraph" w:styleId="Subtitle">
    <w:name w:val="Subtitle"/>
    <w:basedOn w:val="Normal"/>
    <w:next w:val="Normal"/>
    <w:link w:val="SubtitleChar"/>
    <w:uiPriority w:val="11"/>
    <w:qFormat w:val="1"/>
    <w:rsid w:val="00514958"/>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14958"/>
    <w:rPr>
      <w:rFonts w:cstheme="majorBidi" w:eastAsiaTheme="majorEastAsia"/>
      <w:color w:val="595959" w:themeColor="text1" w:themeTint="0000A6"/>
      <w:spacing w:val="15"/>
      <w:sz w:val="28"/>
      <w:szCs w:val="28"/>
      <w:lang w:val="es-ES_tradnl"/>
    </w:rPr>
  </w:style>
  <w:style w:type="paragraph" w:styleId="Quote">
    <w:name w:val="Quote"/>
    <w:basedOn w:val="Normal"/>
    <w:next w:val="Normal"/>
    <w:link w:val="QuoteChar"/>
    <w:uiPriority w:val="29"/>
    <w:qFormat w:val="1"/>
    <w:rsid w:val="00514958"/>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514958"/>
    <w:rPr>
      <w:i w:val="1"/>
      <w:iCs w:val="1"/>
      <w:color w:val="404040" w:themeColor="text1" w:themeTint="0000BF"/>
      <w:lang w:val="es-ES_tradnl"/>
    </w:rPr>
  </w:style>
  <w:style w:type="paragraph" w:styleId="ListParagraph">
    <w:name w:val="List Paragraph"/>
    <w:basedOn w:val="Normal"/>
    <w:uiPriority w:val="34"/>
    <w:qFormat w:val="1"/>
    <w:rsid w:val="00514958"/>
    <w:pPr>
      <w:ind w:left="720"/>
      <w:contextualSpacing w:val="1"/>
    </w:pPr>
  </w:style>
  <w:style w:type="character" w:styleId="IntenseEmphasis">
    <w:name w:val="Intense Emphasis"/>
    <w:basedOn w:val="DefaultParagraphFont"/>
    <w:uiPriority w:val="21"/>
    <w:qFormat w:val="1"/>
    <w:rsid w:val="00514958"/>
    <w:rPr>
      <w:i w:val="1"/>
      <w:iCs w:val="1"/>
      <w:color w:val="0f4761" w:themeColor="accent1" w:themeShade="0000BF"/>
    </w:rPr>
  </w:style>
  <w:style w:type="paragraph" w:styleId="IntenseQuote">
    <w:name w:val="Intense Quote"/>
    <w:basedOn w:val="Normal"/>
    <w:next w:val="Normal"/>
    <w:link w:val="IntenseQuoteChar"/>
    <w:uiPriority w:val="30"/>
    <w:qFormat w:val="1"/>
    <w:rsid w:val="0051495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14958"/>
    <w:rPr>
      <w:i w:val="1"/>
      <w:iCs w:val="1"/>
      <w:color w:val="0f4761" w:themeColor="accent1" w:themeShade="0000BF"/>
      <w:lang w:val="es-ES_tradnl"/>
    </w:rPr>
  </w:style>
  <w:style w:type="character" w:styleId="IntenseReference">
    <w:name w:val="Intense Reference"/>
    <w:basedOn w:val="DefaultParagraphFont"/>
    <w:uiPriority w:val="32"/>
    <w:qFormat w:val="1"/>
    <w:rsid w:val="00514958"/>
    <w:rPr>
      <w:b w:val="1"/>
      <w:bCs w:val="1"/>
      <w:smallCaps w:val="1"/>
      <w:color w:val="0f4761" w:themeColor="accent1" w:themeShade="0000BF"/>
      <w:spacing w:val="5"/>
    </w:rPr>
  </w:style>
  <w:style w:type="paragraph" w:styleId="Header">
    <w:name w:val="header"/>
    <w:basedOn w:val="Normal"/>
    <w:link w:val="HeaderChar"/>
    <w:uiPriority w:val="99"/>
    <w:unhideWhenUsed w:val="1"/>
    <w:rsid w:val="007C5FC6"/>
    <w:pPr>
      <w:tabs>
        <w:tab w:val="center" w:pos="4680"/>
        <w:tab w:val="right" w:pos="9360"/>
      </w:tabs>
    </w:pPr>
  </w:style>
  <w:style w:type="character" w:styleId="HeaderChar" w:customStyle="1">
    <w:name w:val="Header Char"/>
    <w:basedOn w:val="DefaultParagraphFont"/>
    <w:link w:val="Header"/>
    <w:uiPriority w:val="99"/>
    <w:rsid w:val="007C5FC6"/>
    <w:rPr>
      <w:lang w:val="es-ES_tradnl"/>
    </w:rPr>
  </w:style>
  <w:style w:type="paragraph" w:styleId="Footer">
    <w:name w:val="footer"/>
    <w:basedOn w:val="Normal"/>
    <w:link w:val="FooterChar"/>
    <w:uiPriority w:val="99"/>
    <w:unhideWhenUsed w:val="1"/>
    <w:rsid w:val="007C5FC6"/>
    <w:pPr>
      <w:tabs>
        <w:tab w:val="center" w:pos="4680"/>
        <w:tab w:val="right" w:pos="9360"/>
      </w:tabs>
    </w:pPr>
  </w:style>
  <w:style w:type="character" w:styleId="FooterChar" w:customStyle="1">
    <w:name w:val="Footer Char"/>
    <w:basedOn w:val="DefaultParagraphFont"/>
    <w:link w:val="Footer"/>
    <w:uiPriority w:val="99"/>
    <w:rsid w:val="007C5FC6"/>
    <w:rPr>
      <w:lang w:val="es-ES_tradnl"/>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4rutDxPQl0/vUjcAmANMkC3cg==">CgMxLjA4AHIhMXdxbUlaVVdFZHpDM0lhMmszYXR1Vndna0k3R3lrX051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2025-05-29T02:50:00Z</dcterms:created>
  <dc:creator>Rivera Villanueva, Luis "Conti"</dc:creator>
</cp:coreProperties>
</file>